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2.png" ContentType="image/png"/>
  <Override PartName="/word/media/rId36.png" ContentType="image/png"/>
  <Override PartName="/word/media/rId37.png" ContentType="image/png"/>
  <Override PartName="/word/media/rId33.png" ContentType="image/png"/>
  <Override PartName="/word/media/rId40.png" ContentType="image/png"/>
  <Override PartName="/word/media/rId34.png" ContentType="image/png"/>
  <Override PartName="/word/media/rId41.png" ContentType="image/png"/>
  <Override PartName="/word/media/rId32.png" ContentType="image/png"/>
  <Override PartName="/word/media/rId39.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p>
    <w:p>
      <w:pPr>
        <w:pStyle w:val="BodyText"/>
      </w:pPr>
      <w:r>
        <w:t xml:space="preserve">Ben Bond-Lamberty</w:t>
      </w:r>
    </w:p>
    <w:p>
      <w:pPr>
        <w:pStyle w:val="BodyText"/>
      </w:pPr>
      <w:r>
        <w:t xml:space="preserve">Susan C. Cook-Patton</w:t>
      </w:r>
      <w:r>
        <w:rPr>
          <w:vertAlign w:val="superscript"/>
        </w:rPr>
        <w:t xml:space="preserve">5</w:t>
      </w:r>
    </w:p>
    <w:p>
      <w:pPr>
        <w:pStyle w:val="BodyText"/>
      </w:pPr>
      <w:r>
        <w:t xml:space="preserve">Abigail Ferson</w:t>
      </w:r>
    </w:p>
    <w:p>
      <w:pPr>
        <w:pStyle w:val="BodyText"/>
      </w:pPr>
      <w:r>
        <w:t xml:space="preserve">Jennifer McGarvey</w:t>
      </w:r>
    </w:p>
    <w:p>
      <w:pPr>
        <w:pStyle w:val="BodyText"/>
      </w:pPr>
      <w:r>
        <w:t xml:space="preserve">Helene C. Muller-Landau</w:t>
      </w:r>
      <w:r>
        <w:rPr>
          <w:vertAlign w:val="superscript"/>
        </w:rPr>
        <w:t xml:space="preserve">1</w:t>
      </w:r>
    </w:p>
    <w:p>
      <w:pPr>
        <w:pStyle w:val="BodyText"/>
      </w:pPr>
      <w:r>
        <w:t xml:space="preserve">Maria Wang</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The Nature Conservancy, Arlington VA 22203</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The fate of Earth’s climate is closely linked to forests, which strongly influence atmospheric carbon dioxide (CO</w:t>
      </w:r>
      <w:r>
        <w:rPr>
          <w:vertAlign w:val="subscript"/>
        </w:rPr>
        <w:t xml:space="preserve">2</w:t>
      </w:r>
      <w:r>
        <w:t xml:space="preserve">) and climate through their influential role in the global carbon (C) cycle. Synthetic understanding of global forest C cycles is needed to constrain model estimates of forest feedbacks to climate change and to more accurately quantify the influence of land use decisions on climate.</w:t>
      </w:r>
    </w:p>
    <w:p>
      <w:pPr>
        <w:pStyle w:val="BodyText"/>
      </w:pPr>
      <w:r>
        <w:rPr>
          <w:i/>
        </w:rPr>
        <w:t xml:space="preserve">Methods/Design.</w:t>
      </w:r>
      <w:r>
        <w:t xml:space="preserve"> </w:t>
      </w:r>
      <w:r>
        <w:t xml:space="preserve">Here, we draw from the Global Forest C Database, ForC, to provide a macroscopic overview of C cycling in the world’s forests, giving special attention to stand age-related variation. Specifically, we draw upon</w:t>
      </w:r>
      <w:r>
        <w:t xml:space="preserve"> </w:t>
      </w:r>
      <w:r>
        <w:rPr>
          <w:i/>
        </w:rPr>
        <w:t xml:space="preserve">##</w:t>
      </w:r>
      <w:r>
        <w:t xml:space="preserve"> </w:t>
      </w:r>
      <w:r>
        <w:t xml:space="preserve">records from</w:t>
      </w:r>
      <w:r>
        <w:t xml:space="preserve"> </w:t>
      </w:r>
      <w:r>
        <w:rPr>
          <w:i/>
        </w:rPr>
        <w:t xml:space="preserve">##</w:t>
      </w:r>
      <w:r>
        <w:t xml:space="preserve"> </w:t>
      </w:r>
      <w:r>
        <w:t xml:space="preserve">geographic locations representing</w:t>
      </w:r>
      <w:r>
        <w:t xml:space="preserve"> </w:t>
      </w:r>
      <w:r>
        <w:rPr>
          <w:i/>
        </w:rPr>
        <w:t xml:space="preserve">##</w:t>
      </w:r>
      <w:r>
        <w:t xml:space="preserve"> </w:t>
      </w:r>
      <w:r>
        <w:t xml:space="preserve">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t xml:space="preserve">ForC v.XX 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t xml:space="preserve">This analysis yields a comprehensive and broadly consistent picture of C cycling across the world’s forests.</w:t>
      </w:r>
      <w:r>
        <w:t xml:space="preserve"> </w:t>
      </w:r>
      <w:r>
        <w:rPr>
          <w:i/>
        </w:rPr>
        <w:t xml:space="preserve">[Discussion section will interpret results, highlighting new and significant findings, and discuss implications. Tentative headings are</w:t>
      </w:r>
      <w:r>
        <w:rPr>
          <w:i/>
        </w:rPr>
        <w:t xml:space="preserve"> </w:t>
      </w:r>
      <w:r>
        <w:rPr>
          <w:i/>
        </w:rPr>
        <w:t xml:space="preserve">“</w:t>
      </w:r>
      <w:r>
        <w:rPr>
          <w:i/>
        </w:rPr>
        <w:t xml:space="preserve">Stand level C cycling in forests globally</w:t>
      </w:r>
      <w:r>
        <w:rPr>
          <w:i/>
        </w:rPr>
        <w:t xml:space="preserve">”</w:t>
      </w:r>
      <w:r>
        <w:rPr>
          <w:i/>
        </w:rPr>
        <w:t xml:space="preserve">,</w:t>
      </w:r>
      <w:r>
        <w:rPr>
          <w:i/>
        </w:rPr>
        <w:t xml:space="preserve"> </w:t>
      </w:r>
      <w:r>
        <w:rPr>
          <w:i/>
        </w:rPr>
        <w:t xml:space="preserve">“</w:t>
      </w:r>
      <w:r>
        <w:rPr>
          <w:i/>
        </w:rPr>
        <w:t xml:space="preserve">Age trends in C cycling</w:t>
      </w:r>
      <w:r>
        <w:rPr>
          <w:i/>
        </w:rPr>
        <w:t xml:space="preserve">”</w:t>
      </w:r>
      <w:r>
        <w:rPr>
          <w:i/>
        </w:rPr>
        <w:t xml:space="preserve">, and</w:t>
      </w:r>
      <w:r>
        <w:rPr>
          <w:i/>
        </w:rPr>
        <w:t xml:space="preserve"> </w:t>
      </w:r>
      <w:r>
        <w:rPr>
          <w:i/>
        </w:rPr>
        <w:t xml:space="preserve">“</w:t>
      </w:r>
      <w:r>
        <w:rPr>
          <w:i/>
        </w:rPr>
        <w:t xml:space="preserve">Implications for climate change mitigation</w:t>
      </w:r>
      <w:r>
        <w:rPr>
          <w:i/>
        </w:rPr>
        <w:t xml:space="preserve">”</w:t>
      </w:r>
      <w:r>
        <w:rPr>
          <w:i/>
        </w:rPr>
        <w:t xml:space="preserve">.]</w:t>
      </w:r>
    </w:p>
    <w:p>
      <w:pPr>
        <w:pStyle w:val="BodyText"/>
      </w:pPr>
      <w:r>
        <w:rPr>
          <w:i/>
        </w:rPr>
        <w:t xml:space="preserve">Key words</w:t>
      </w:r>
      <w:r>
        <w:t xml:space="preserve">: forest ecosystems; carbon cycle; stand age; productivity; respiration; biomass; global</w:t>
      </w:r>
    </w:p>
    <w:p>
      <w:pPr>
        <w:pStyle w:val="Heading2"/>
      </w:pPr>
      <w:bookmarkStart w:id="22" w:name="background"/>
      <w:r>
        <w:t xml:space="preserve">Background</w:t>
      </w:r>
      <w:bookmarkEnd w:id="22"/>
    </w:p>
    <w:p>
      <w:pPr>
        <w:pStyle w:val="FirstParagraph"/>
      </w:pPr>
      <w:r>
        <w:t xml:space="preserve">Forest ecosystems will play a critical role in shaping the course of climate change (IPCC1.5) through their influence on atmospheric carbon dioxide (CO</w:t>
      </w:r>
      <w:r>
        <w:rPr>
          <w:vertAlign w:val="subscript"/>
        </w:rPr>
        <w:t xml:space="preserve">2</w:t>
      </w:r>
      <w:r>
        <w:t xml:space="preserve">).</w:t>
      </w:r>
      <w:r>
        <w:t xml:space="preserve"> </w:t>
      </w:r>
      <w:r>
        <w:t xml:space="preserve">Their annual gross CO</w:t>
      </w:r>
      <w:r>
        <w:rPr>
          <w:vertAlign w:val="subscript"/>
        </w:rPr>
        <w:t xml:space="preserve">2</w:t>
      </w:r>
      <w:r>
        <w:t xml:space="preserve"> </w:t>
      </w:r>
      <w:r>
        <w:t xml:space="preserve">sequestration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While most of this enormous C flux is couterbalanced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 or fire, a small portion was retained in ecosystems over recent decades.</w:t>
      </w:r>
      <w:r>
        <w:t xml:space="preserve"> </w:t>
      </w:r>
      <w:r>
        <w:t xml:space="preserve">The resulting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Moreover, forests contain substantial carbon (C) stocks: an estimated 92% of terrestrial biomass (Pan et al 2013) and 45% of terrestrial C</w:t>
      </w:r>
      <w:r>
        <w:t xml:space="preserve"> </w:t>
      </w:r>
      <w:r>
        <w:t xml:space="preserve">(biomass and soils; Bonan 2008)</w:t>
      </w:r>
      <w:r>
        <w:t xml:space="preserve">.</w:t>
      </w:r>
      <w:r>
        <w:t xml:space="preserve"> </w:t>
      </w:r>
      <w:r>
        <w:t xml:space="preserve">Globally, net deforestation (</w:t>
      </w:r>
      <w:r>
        <w:rPr>
          <w:i/>
        </w:rPr>
        <w:t xml:space="preserve">i.e.</w:t>
      </w:r>
      <w:r>
        <w:t xml:space="preserve">, gross deforestation -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r>
        <w:t xml:space="preserve"> </w:t>
      </w:r>
      <w:r>
        <w:t xml:space="preserve">The future of this sink is dependent both upon forest responses to a broad suite of global change drivers and to future land use decisions, and will strongly influence the course of climate change.</w:t>
      </w:r>
      <w:r>
        <w:t xml:space="preserve"> </w:t>
      </w:r>
      <w:r>
        <w:t xml:space="preserve">Regrowth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 and growing proportion of Earth’s forests.</w:t>
      </w:r>
      <w:r>
        <w:t xml:space="preserve"> </w:t>
      </w:r>
      <w:r>
        <w:t xml:space="preserve">Understanding, modeling, and managing forest-atmosphere CO</w:t>
      </w:r>
      <w:r>
        <w:rPr>
          <w:vertAlign w:val="subscript"/>
        </w:rPr>
        <w:t xml:space="preserve">2</w:t>
      </w:r>
      <w:r>
        <w:t xml:space="preserve"> </w:t>
      </w:r>
      <w:r>
        <w:t xml:space="preserve">exchange is thereby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 Cavaleri et al 2015].</w:t>
      </w:r>
    </w:p>
    <w:p>
      <w:pPr>
        <w:pStyle w:val="BodyText"/>
      </w:pPr>
      <w:r>
        <w:t xml:space="preserve">Despite the centrality of forest C cycling in regulating atmospheric CO</w:t>
      </w:r>
      <w:r>
        <w:rPr>
          <w:vertAlign w:val="subscript"/>
        </w:rPr>
        <w:t xml:space="preserve">2</w:t>
      </w:r>
      <w:r>
        <w:t xml:space="preserve">, important uncertainties in climate models [</w:t>
      </w:r>
      <w:r>
        <w:t xml:space="preserve">(</w:t>
      </w:r>
      <w:r>
        <w:rPr>
          <w:b/>
        </w:rPr>
        <w:t xml:space="preserve">???</w:t>
      </w:r>
      <w:r>
        <w:t xml:space="preserve">)</w:t>
      </w:r>
      <w:r>
        <w:t xml:space="preserve">;</w:t>
      </w:r>
      <w:r>
        <w:t xml:space="preserve"> </w:t>
      </w:r>
      <w:r>
        <w:t xml:space="preserve">Krause</w:t>
      </w:r>
      <w:r>
        <w:t xml:space="preserve"> </w:t>
      </w:r>
      <w:r>
        <w:rPr>
          <w:i/>
        </w:rPr>
        <w:t xml:space="preserve">et al</w:t>
      </w:r>
      <w:r>
        <w:t xml:space="preserve"> </w:t>
      </w:r>
      <w:r>
        <w:t xml:space="preserve">(2018)</w:t>
      </w:r>
      <w:r>
        <w:t xml:space="preserve">; REFS] 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Original studies typically cover only a small numbers of sites at a time, with rare exceptions spanning regions or continents [e.g.,</w:t>
      </w:r>
      <w:r>
        <w:t xml:space="preserve"> </w:t>
      </w:r>
      <w:r>
        <w:t xml:space="preserve">Lutz</w:t>
      </w:r>
      <w:r>
        <w:t xml:space="preserve"> </w:t>
      </w:r>
      <w:r>
        <w:rPr>
          <w:i/>
        </w:rPr>
        <w:t xml:space="preserve">et al</w:t>
      </w:r>
      <w:r>
        <w:t xml:space="preserve"> </w:t>
      </w:r>
      <w:r>
        <w:t xml:space="preserve">(2018)</w:t>
      </w:r>
      <w:r>
        <w:t xml:space="preserve">; FLUXNET_REF), typically coordinated through research networks such as ForestGEO</w:t>
      </w:r>
      <w:r>
        <w:t xml:space="preserve"> </w:t>
      </w:r>
      <w:r>
        <w:t xml:space="preserve">(Anderson-Teixeira</w:t>
      </w:r>
      <w:r>
        <w:t xml:space="preserve"> </w:t>
      </w:r>
      <w:r>
        <w:rPr>
          <w:i/>
        </w:rPr>
        <w:t xml:space="preserve">et al</w:t>
      </w:r>
      <w:r>
        <w:t xml:space="preserve"> </w:t>
      </w:r>
      <w:r>
        <w:t xml:space="preserve">2015)</w:t>
      </w:r>
      <w:r>
        <w:t xml:space="preserve"> </w:t>
      </w:r>
      <w:r>
        <w:t xml:space="preserve">or FLUXNET</w:t>
      </w:r>
      <w:r>
        <w:t xml:space="preserve"> </w:t>
      </w:r>
      <w:r>
        <w:t xml:space="preserve">(Baldocchi</w:t>
      </w:r>
      <w:r>
        <w:t xml:space="preserve"> </w:t>
      </w:r>
      <w:r>
        <w:rPr>
          <w:i/>
        </w:rPr>
        <w:t xml:space="preserve">et al</w:t>
      </w:r>
      <w:r>
        <w:t xml:space="preserve"> </w:t>
      </w:r>
      <w:r>
        <w:t xml:space="preserve">2001)</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(REFS).</w:t>
      </w:r>
    </w:p>
    <w:p>
      <w:pPr>
        <w:pStyle w:val="BodyText"/>
      </w:pPr>
      <w:r>
        <w:t xml:space="preserve">To address the need for global-scale analyses of forest C cycling, we recently developed an open-access Global Forest Carbon database, ForC (</w:t>
      </w:r>
      <w:r>
        <w:t xml:space="preserve">Anderson-Teixeira</w:t>
      </w:r>
      <w:r>
        <w:t xml:space="preserve"> </w:t>
      </w:r>
      <w:r>
        <w:rPr>
          <w:i/>
        </w:rPr>
        <w:t xml:space="preserve">et al</w:t>
      </w:r>
      <w:r>
        <w:t xml:space="preserve"> </w:t>
      </w:r>
      <w:r>
        <w:t xml:space="preserve">(2016)</w:t>
      </w:r>
      <w:r>
        <w:t xml:space="preserve">,</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ForC contains published estimates of forest ecosystem C stocks and annual fluxes (&gt;50 variables) based on ground-based measurements, along with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 ForC has been integrated with two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both of which have also synthesized published forest C data.</w:t>
      </w:r>
      <w:r>
        <w:t xml:space="preserve"> </w:t>
      </w:r>
      <w:r>
        <w:t xml:space="preserve">Following these additions, ForC currently contains</w:t>
      </w:r>
      <w:r>
        <w:t xml:space="preserve"> </w:t>
      </w:r>
      <w:r>
        <w:rPr>
          <w:b/>
        </w:rPr>
        <w:t xml:space="preserve">#</w:t>
      </w:r>
      <w:r>
        <w:t xml:space="preserve"> </w:t>
      </w:r>
      <w:r>
        <w:t xml:space="preserve">(~49,000!) records from</w:t>
      </w:r>
      <w:r>
        <w:t xml:space="preserve"> </w:t>
      </w:r>
      <w:r>
        <w:rPr>
          <w:b/>
        </w:rPr>
        <w:t xml:space="preserve">#</w:t>
      </w:r>
      <w:r>
        <w:t xml:space="preserve"> </w:t>
      </w:r>
      <w:r>
        <w:t xml:space="preserve">plots and</w:t>
      </w:r>
      <w:r>
        <w:t xml:space="preserve"> </w:t>
      </w:r>
      <w:r>
        <w:rPr>
          <w:b/>
        </w:rPr>
        <w:t xml:space="preserve">#</w:t>
      </w:r>
      <w:r>
        <w:t xml:space="preserve"> </w:t>
      </w:r>
      <w:r>
        <w:t xml:space="preserve">distinct geographic areas representing all forested biogeographic and climate zones.</w:t>
      </w:r>
    </w:p>
    <w:p>
      <w:pPr>
        <w:pStyle w:val="BodyText"/>
      </w:pPr>
      <w:r>
        <w:t xml:space="preserve">Here, we synthesize ForC data (Fig. 1) to provide a macroscopic overview of stand-level carbon cycling of the world’s major forest biomes and how it varies with stand age. Our primary goal is to provide a data-based summary of our current state of knowledge on broad trends in forest C cycling. We address three broad questions:</w:t>
      </w:r>
    </w:p>
    <w:p>
      <w:pPr>
        <w:numPr>
          <w:numId w:val="1002"/>
          <w:ilvl w:val="0"/>
        </w:numPr>
      </w:pPr>
      <w:r>
        <w:t xml:space="preserve">To what extent can we fully represent, and</w:t>
      </w:r>
      <w:r>
        <w:t xml:space="preserve"> </w:t>
      </w:r>
      <w:r>
        <w:t xml:space="preserve">“</w:t>
      </w:r>
      <w:r>
        <w:t xml:space="preserve">close</w:t>
      </w:r>
      <w:r>
        <w:t xml:space="preserve">”</w:t>
      </w:r>
      <w:r>
        <w:t xml:space="preserve">, C budgets for each of the world’s major forest biomes (</w:t>
      </w:r>
      <w:r>
        <w:rPr>
          <w:i/>
        </w:rPr>
        <w:t xml:space="preserve">i.e.</w:t>
      </w:r>
      <w:r>
        <w:t xml:space="preserve">, tropical, temperate broadleaf and deciduous, boreal) based on the current ForC data?</w:t>
      </w:r>
    </w:p>
    <w:p>
      <w:pPr>
        <w:numPr>
          <w:numId w:val="1002"/>
          <w:ilvl w:val="0"/>
        </w:numPr>
      </w:pPr>
      <w:r>
        <w:t xml:space="preserve">How do C cycling vary across the world’s major forest biomes?</w:t>
      </w:r>
    </w:p>
    <w:p>
      <w:pPr>
        <w:numPr>
          <w:numId w:val="1002"/>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thereby stands to serve as a foundation for improved understanding of global forest C cycling.</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 ForC 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t xml:space="preserve">ForC amalgamates numerous intermediary data sets (</w:t>
      </w:r>
      <w:r>
        <w:rPr>
          <w:i/>
        </w:rPr>
        <w:t xml:space="preserve">e.g.</w:t>
      </w:r>
      <w:r>
        <w:t xml:space="preserve">, REFS) 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yet these represented only approximately one-third of records in ForC 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(SRDB v.##; Bond-Lamberty and Thomson 2010)</w:t>
      </w:r>
      <w:r>
        <w:t xml:space="preserve">, the Global Reforestation Opportunity Assessment database</w:t>
      </w:r>
      <w:r>
        <w:t xml:space="preserve"> </w:t>
      </w:r>
      <w:r>
        <w:t xml:space="preserve">(GROA v1.0;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 and data from several publications [e.g.,</w:t>
      </w:r>
      <w:r>
        <w:t xml:space="preserve"> </w:t>
      </w:r>
      <w:r>
        <w:t xml:space="preserve">Taylor</w:t>
      </w:r>
      <w:r>
        <w:t xml:space="preserve"> </w:t>
      </w:r>
      <w:r>
        <w:rPr>
          <w:i/>
        </w:rPr>
        <w:t xml:space="preserve">et al</w:t>
      </w:r>
      <w:r>
        <w:t xml:space="preserve"> </w:t>
      </w:r>
      <w:r>
        <w:t xml:space="preserve">(2017)</w:t>
      </w:r>
      <w:r>
        <w:t xml:space="preserve">,</w:t>
      </w:r>
      <w:r>
        <w:t xml:space="preserve"> </w:t>
      </w:r>
      <w:r>
        <w:t xml:space="preserve">Lutz</w:t>
      </w:r>
      <w:r>
        <w:t xml:space="preserve"> </w:t>
      </w:r>
      <w:r>
        <w:rPr>
          <w:i/>
        </w:rPr>
        <w:t xml:space="preserve">et al</w:t>
      </w:r>
      <w:r>
        <w:t xml:space="preserve"> </w:t>
      </w:r>
      <w:r>
        <w:t xml:space="preserve">(2018)</w:t>
      </w:r>
      <w:r>
        <w:t xml:space="preserve">,</w:t>
      </w:r>
      <w:r>
        <w:t xml:space="preserve"> </w:t>
      </w:r>
      <w:r>
        <w:t xml:space="preserve">Johnson</w:t>
      </w:r>
      <w:r>
        <w:t xml:space="preserve"> </w:t>
      </w:r>
      <w:r>
        <w:rPr>
          <w:i/>
        </w:rPr>
        <w:t xml:space="preserve">et al</w:t>
      </w:r>
      <w:r>
        <w:t xml:space="preserve"> </w:t>
      </w:r>
      <w:r>
        <w:t xml:space="preserve">(2018)</w:t>
      </w:r>
      <w:r>
        <w:t xml:space="preserve">; detailed list at</w:t>
      </w:r>
      <w:r>
        <w:t xml:space="preserve"> </w:t>
      </w:r>
      <w:hyperlink r:id="rId26">
        <w:r>
          <w:rPr>
            <w:rStyle w:val="Hyperlink"/>
          </w:rPr>
          <w:t xml:space="preserve">https://github.com/forc-db/ForC/blob/master/database_management_records/ForC_data_additions_log.csv</w:t>
        </w:r>
      </w:hyperlink>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 REFS).</w:t>
      </w:r>
      <w:r>
        <w:t xml:space="preserve"> </w:t>
      </w:r>
      <w:r>
        <w:t xml:space="preserve">The database version used for this analysis has been tagged as a new release on Github (XX) and assigned a DOI through Zenodo (DOI: TBD).</w:t>
      </w:r>
    </w:p>
    <w:p>
      <w:pPr>
        <w:pStyle w:val="BodyText"/>
      </w:pPr>
      <w:r>
        <w:t xml:space="preserve">For this analysis, we grouped forests into four broad biome types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Tropical climates were defined to include all equatorial (A) zones, temperate climates were defined to include all warm temperate (C) zones and warmer snow climates (Dsa, Dsb, Dwa, Dwb, Dfa, and Dfb), and boreal climates were defined to include the colder snow climates (Dsc, Dsd, Dwc, Dwd, Dfc, and Dfd).</w:t>
      </w:r>
      <w:r>
        <w:t xml:space="preserve"> </w:t>
      </w:r>
      <w:r>
        <w:t xml:space="preserve">Any forests in dry (B) and polar (E) Köppen-Geiger zones were excluded from the analysis.</w:t>
      </w:r>
      <w:r>
        <w:t xml:space="preserve"> </w:t>
      </w:r>
      <w:r>
        <w:t xml:space="preserve">Leaf type (broadleaf / needleleaf) was defined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Forests were classified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Records for which stand age was unknown (#% of total database) were excluded from the analysis.</w:t>
      </w:r>
      <w:r>
        <w:t xml:space="preserve"> </w:t>
      </w:r>
      <w:r>
        <w:t xml:space="preserve">These groupings covered</w:t>
      </w:r>
      <w:r>
        <w:t xml:space="preserve"> </w:t>
      </w:r>
      <w:r>
        <w:rPr>
          <w:i/>
        </w:rPr>
        <w:t xml:space="preserve">#%</w:t>
      </w:r>
      <w:r>
        <w:t xml:space="preserve"> </w:t>
      </w:r>
      <w:r>
        <w:t xml:space="preserve">of the primary variable records for forests of known age, or</w:t>
      </w:r>
      <w:r>
        <w:t xml:space="preserve"> </w:t>
      </w:r>
      <w:r>
        <w:rPr>
          <w:i/>
        </w:rPr>
        <w:t xml:space="preserve">#%</w:t>
      </w:r>
      <w:r>
        <w:t xml:space="preserve"> </w:t>
      </w:r>
      <w:r>
        <w:t xml:space="preserve">of total records.</w:t>
      </w:r>
      <w:r>
        <w:t xml:space="preserve"> </w:t>
      </w:r>
      <w:r>
        <w:t xml:space="preserve">The most well-represented forest types excluded were boreal broadleaf and boreal and temperate mixed broadleaf-needleleaf, each with</w:t>
      </w:r>
      <w:r>
        <w:t xml:space="preserve"> </w:t>
      </w:r>
      <w:r>
        <w:rPr>
          <w:i/>
        </w:rPr>
        <w:t xml:space="preserve">#</w:t>
      </w:r>
      <w:r>
        <w:t xml:space="preserve"> </w:t>
      </w:r>
      <w:r>
        <w:t xml:space="preserve">records total.</w:t>
      </w:r>
    </w:p>
    <w:p>
      <w:pPr>
        <w:pStyle w:val="BodyText"/>
      </w:pPr>
      <w:r>
        <w:t xml:space="preserve">We selected 23 annual flux and 11 C stock variables for inclusion in the analysis, although two flux variables (</w:t>
      </w:r>
      <m:oMath>
        <m:sSub>
          <m:e>
            <m:r>
              <m:t>R</m:t>
            </m:r>
          </m:e>
          <m:sub>
            <m:r>
              <m:t>h</m:t>
            </m:r>
            <m:r>
              <m:t>e</m:t>
            </m:r>
            <m:r>
              <m:t>t</m:t>
            </m:r>
            <m:r>
              <m:t>−</m:t>
            </m:r>
            <m:r>
              <m:t>a</m:t>
            </m:r>
            <m:r>
              <m:t>g</m:t>
            </m:r>
          </m:sub>
        </m:sSub>
      </m:oMath>
      <w:r>
        <w:t xml:space="preserve"> </w:t>
      </w:r>
      <w:r>
        <w:t xml:space="preserve">and</w:t>
      </w:r>
      <w:r>
        <w:t xml:space="preserve"> </w:t>
      </w:r>
      <m:oMath>
        <m:sSub>
          <m:e>
            <m:r>
              <m:t>R</m:t>
            </m:r>
          </m:e>
          <m:sub>
            <m:r>
              <m:t>h</m:t>
            </m:r>
            <m:r>
              <m:t>e</m:t>
            </m:r>
            <m:r>
              <m:t>t</m:t>
            </m:r>
          </m:sub>
        </m:sSub>
      </m:oMath>
      <w:r>
        <w:t xml:space="preserve">) were included for conceptual completeness but had no records in ForC (Table 1).</w:t>
      </w:r>
      <w:r>
        <w:t xml:space="preserve"> </w:t>
      </w:r>
      <w:r>
        <w:t xml:space="preserve">For this analysis, we combined some of ForC’s specific variables (</w:t>
      </w:r>
      <w:r>
        <w:rPr>
          <w:i/>
        </w:rPr>
        <w:t xml:space="preserve">e.g.</w:t>
      </w:r>
      <w:r>
        <w:t xml:space="preserve">, multiple variables for net primary productivity including various components) into more broadly defined variables (Tables 1, S#(variable mapping)).</w:t>
      </w:r>
      <w:r>
        <w:t xml:space="preserve"> </w:t>
      </w:r>
      <w:r>
        <w:t xml:space="preserve">Throughout ForC, for all measurements drawing from tree census data (</w:t>
      </w:r>
      <w:r>
        <w:rPr>
          <w:i/>
        </w:rPr>
        <w:t xml:space="preserve">e.g.</w:t>
      </w:r>
      <w:r>
        <w:t xml:space="preserve">, biomass, productivity), the minimum stem diameter sampled was</w:t>
      </w:r>
      <w:r>
        <w:t xml:space="preserve"> </w:t>
      </w:r>
      <m:oMath>
        <m:r>
          <m:t>≤</m:t>
        </m:r>
      </m:oMath>
      <w:r>
        <w:t xml:space="preserve"> </w:t>
      </w:r>
      <w:r>
        <w:t xml:space="preserve">10cm. All records were measured directly or derived from field measurements (as opposed to modeled).</w:t>
      </w:r>
    </w:p>
    <w:p>
      <w:pPr>
        <w:pStyle w:val="BodyText"/>
      </w:pPr>
      <w:r>
        <w:t xml:space="preserve">Analyses drew from ForC-simplified (</w:t>
      </w:r>
      <w:hyperlink r:id="rId27">
        <w:r>
          <w:rPr>
            <w:rStyle w:val="Hyperlink"/>
          </w:rPr>
          <w:t xml:space="preserve">https://github.com/forc-db/ForC/blob/master/ForC_simplified</w:t>
        </w:r>
      </w:hyperlink>
      <w:r>
        <w:t xml:space="preserve">), which is a rearrangement of ForC intended to facilitate analyses.</w:t>
      </w:r>
      <w:r>
        <w:t xml:space="preserve"> </w:t>
      </w:r>
      <w:r>
        <w:t xml:space="preserve">In generating ForC-simplified,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w:t>
      </w:r>
      <w:r>
        <w:t xml:space="preserve"> </w:t>
      </w:r>
      <w:r>
        <w:t xml:space="preserve">Records were filtered to remove plots that had undergone significant anthropogenic management or major disturbance since the most recent stand establishment (</w:t>
      </w:r>
      <w:r>
        <w:rPr>
          <w:i/>
        </w:rPr>
        <w:t xml:space="preserve">i.e.</w:t>
      </w:r>
      <w:r>
        <w:t xml:space="preserve">, that reflected by stand.age).</w:t>
      </w:r>
      <w:r>
        <w:t xml:space="preserve"> </w:t>
      </w:r>
      <w:r>
        <w:t xml:space="preserve">Specifically, we removed all plots flagged as managed in ForC-simplified (managed field).</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br/>
      </w:r>
      <w:r>
        <w:t xml:space="preserve">Plots flagged as disturbed in ForC-simplified included stands that had undergone anthropogenic thinning or partial harvest (</w:t>
      </w:r>
      <w:r>
        <w:t xml:space="preserve">“</w:t>
      </w:r>
      <w:r>
        <w:t xml:space="preserve">Cut</w:t>
      </w:r>
      <w:r>
        <w:t xml:space="preserve">”</w:t>
      </w:r>
      <w:r>
        <w:t xml:space="preserve"> </w:t>
      </w:r>
      <w:r>
        <w:t xml:space="preserve">or</w:t>
      </w:r>
      <w:r>
        <w:t xml:space="preserve"> </w:t>
      </w:r>
      <w:r>
        <w:t xml:space="preserve">“</w:t>
      </w:r>
      <w:r>
        <w:t xml:space="preserve">Harvest</w:t>
      </w:r>
      <w:r>
        <w:t xml:space="preserve">”</w:t>
      </w:r>
      <w:r>
        <w:t xml:space="preserve"> </w:t>
      </w:r>
      <w:r>
        <w:t xml:space="preserve">codes) unless this was very minor (percent.mortality=</w:t>
      </w:r>
      <w:r>
        <w:t xml:space="preserve"> </w:t>
      </w:r>
      <w:r>
        <w:t xml:space="preserve">“</w:t>
      </w:r>
      <w:r>
        <w:t xml:space="preserve">minor</w:t>
      </w:r>
      <w:r>
        <w:t xml:space="preserve">”</w:t>
      </w:r>
      <w:r>
        <w:t xml:space="preserve">).</w:t>
      </w:r>
      <w:r>
        <w:t xml:space="preserve"> </w:t>
      </w:r>
      <w:r>
        <w:t xml:space="preserve">We retained sites that were grazed or had undergone low severity natural disturbances (&lt;10% mortality) including droughts, major storms, fires, and floods.</w:t>
      </w:r>
      <w:r>
        <w:t xml:space="preserve"> </w:t>
      </w:r>
      <w:r>
        <w:t xml:space="preserve">We also removed all plots for which no stand history information had been retrieved.</w:t>
      </w:r>
    </w:p>
    <w:p>
      <w:pPr>
        <w:pStyle w:val="BodyText"/>
      </w:pPr>
      <w:r>
        <w:t xml:space="preserve">Data were analyzed to produce basic summaries of C cycle patterns across biomes and stand ages.</w:t>
      </w:r>
      <w:r>
        <w:t xml:space="preserve"> </w:t>
      </w:r>
      <w:r>
        <w:rPr>
          <w:b/>
        </w:rPr>
        <w:t xml:space="preserve">(this par &amp; following are confusing/ incomplete–needs work)</w:t>
      </w:r>
      <w:r>
        <w:t xml:space="preserve"> </w:t>
      </w:r>
      <w:r>
        <w:t xml:space="preserve">For mature forests, to obtain the values reported in the C cycle schematics, we first averaged any repeated measurements within a plot.</w:t>
      </w:r>
      <w:r>
        <w:t xml:space="preserve"> </w:t>
      </w:r>
      <w:r>
        <w:t xml:space="preserve">Values were then averaged across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r>
        <w:t xml:space="preserve"> </w:t>
      </w:r>
      <w:r>
        <w:t xml:space="preserve">Finally, for figures 6 and 7, the original values were analyzed via a linear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 There were enough data to run this analysis for all focal variables but</w:t>
      </w:r>
      <w:r>
        <w:t xml:space="preserve"> </w:t>
      </w:r>
      <m:oMath>
        <m:r>
          <m:t>D</m:t>
        </m:r>
        <m:sSub>
          <m:e>
            <m:r>
              <m:t>W</m:t>
            </m:r>
          </m:e>
          <m:sub>
            <m:r>
              <m:t>d</m:t>
            </m:r>
            <m:r>
              <m:t>o</m:t>
            </m:r>
            <m:r>
              <m:t>w</m:t>
            </m:r>
            <m:r>
              <m:t>n</m:t>
            </m:r>
          </m:sub>
        </m:sSub>
      </m:oMath>
      <w:r>
        <w:t xml:space="preserve">.</w:t>
      </w:r>
    </w:p>
    <w:p>
      <w:pPr>
        <w:pStyle w:val="BodyText"/>
      </w:pPr>
      <w:r>
        <w:t xml:space="preserve">For young (&lt;100yrs) forest types, we employed a mixed effects model with biome and log10[stand.age] as fixed effects and plot nested within geographic.area as a random effect on the intercept.</w:t>
      </w:r>
      <w:r>
        <w:t xml:space="preserve"> </w:t>
      </w:r>
      <w:r>
        <w:t xml:space="preserve">When the effect of stand.age was significant at p</w:t>
      </w:r>
      <w:r>
        <w:t xml:space="preserve"> </w:t>
      </w:r>
      <m:oMath>
        <m:r>
          <m:t>≤</m:t>
        </m:r>
      </m:oMath>
      <w:r>
        <w:t xml:space="preserve"> </w:t>
      </w:r>
      <w:r>
        <w:t xml:space="preserve">0.05 and when each biome had records for stands of at least 10 different ages, a biome - stand.age interaction was included in the model.</w:t>
      </w:r>
      <w:r>
        <w:t xml:space="preserve"> </w:t>
      </w:r>
      <w:r>
        <w:t xml:space="preserve">In the C cycle schematics for young forests, we report equations based on these models.</w:t>
      </w:r>
      <w:r>
        <w:t xml:space="preserve"> </w:t>
      </w:r>
      <w:r>
        <w:t xml:space="preserve">In cases where there was no significant effect of stand.age, records were averaged as for mature stands.</w:t>
      </w:r>
    </w:p>
    <w:p>
      <w:pPr>
        <w:pStyle w:val="BodyText"/>
      </w:pPr>
      <w:r>
        <w:t xml:space="preserve">All database manipulation, analyses, and figure production were fully automated in R (version, citation).</w:t>
      </w:r>
      <w:r>
        <w:t xml:space="preserve"> </w:t>
      </w: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 ForC GitHub repository (</w:t>
      </w:r>
      <w:hyperlink r:id="rId25">
        <w:r>
          <w:rPr>
            <w:rStyle w:val="Hyperlink"/>
          </w:rPr>
          <w:t xml:space="preserve">https://github.com/forc-db/ForC</w:t>
        </w:r>
      </w:hyperlink>
      <w:r>
        <w:t xml:space="preserve">), where many will be updated as the database develops.</w:t>
      </w:r>
    </w:p>
    <w:p>
      <w:pPr>
        <w:pStyle w:val="Heading2"/>
      </w:pPr>
      <w:bookmarkStart w:id="28" w:name="review-results-synthesis"/>
      <w:r>
        <w:t xml:space="preserve">Review Results/ Synthesis</w:t>
      </w:r>
      <w:bookmarkEnd w:id="28"/>
    </w:p>
    <w:p>
      <w:pPr>
        <w:pStyle w:val="FirstParagraph"/>
      </w:pPr>
      <w:r>
        <w:rPr>
          <w:i/>
        </w:rPr>
        <w:t xml:space="preserve">NOTE TO COAUTHORS: THIS SECTION HAS A TON OF FIGURES, BUT VERY LITTLE TEXT. IS THERE ANYTHING THAT SHOULD BE ADDED?</w:t>
      </w:r>
    </w:p>
    <w:p>
      <w:pPr>
        <w:pStyle w:val="Heading3"/>
      </w:pPr>
      <w:bookmarkStart w:id="29" w:name="data-coverage"/>
      <w:r>
        <w:t xml:space="preserve">Data Coverage</w:t>
      </w:r>
      <w:bookmarkEnd w:id="29"/>
    </w:p>
    <w:p>
      <w:pPr>
        <w:pStyle w:val="FirstParagraph"/>
      </w:pPr>
      <w:r>
        <w:t xml:space="preserve">Of the</w:t>
      </w:r>
      <w:r>
        <w:t xml:space="preserve"> </w:t>
      </w:r>
      <w:r>
        <w:rPr>
          <w:i/>
        </w:rPr>
        <w:t xml:space="preserve">#</w:t>
      </w:r>
      <w:r>
        <w:t xml:space="preserve"> </w:t>
      </w:r>
      <w:r>
        <w:t xml:space="preserve">records in ForC v.#,</w:t>
      </w:r>
      <w:r>
        <w:t xml:space="preserve"> </w:t>
      </w:r>
      <w:r>
        <w:rPr>
          <w:i/>
        </w:rPr>
        <w:t xml:space="preserve">#</w:t>
      </w:r>
      <w:r>
        <w:t xml:space="preserve"> </w:t>
      </w:r>
      <w:r>
        <w:t xml:space="preserve">met the criteria for inclusion in this study (Fig. 1).</w:t>
      </w:r>
      <w:r>
        <w:t xml:space="preserve"> </w:t>
      </w:r>
      <w:r>
        <w:t xml:space="preserve">These records were distributed across</w:t>
      </w:r>
      <w:r>
        <w:t xml:space="preserve"> </w:t>
      </w:r>
      <w:r>
        <w:rPr>
          <w:i/>
        </w:rPr>
        <w:t xml:space="preserve">#</w:t>
      </w:r>
      <w:r>
        <w:t xml:space="preserve"> </w:t>
      </w:r>
      <w:r>
        <w:t xml:space="preserve">plots in</w:t>
      </w:r>
      <w:r>
        <w:t xml:space="preserve"> </w:t>
      </w:r>
      <w:r>
        <w:rPr>
          <w:i/>
        </w:rPr>
        <w:t xml:space="preserve">#</w:t>
      </w:r>
      <w:r>
        <w:t xml:space="preserve"> </w:t>
      </w:r>
      <w:r>
        <w:t xml:space="preserve">distinct geographic areas.</w:t>
      </w:r>
      <w:r>
        <w:t xml:space="preserve"> </w:t>
      </w:r>
      <w:r>
        <w:t xml:space="preserve">Of the 23 flux and 11 stock variables mapped in these diagrams, ForC contained estimates from</w:t>
      </w:r>
      <w:r>
        <w:t xml:space="preserve"> </w:t>
      </w:r>
      <m:oMath>
        <m:r>
          <m:t>≥</m:t>
        </m:r>
      </m:oMath>
      <w:r>
        <w:t xml:space="preserve"> </w:t>
      </w:r>
      <w:r>
        <w:t xml:space="preserve">7 distinct geographic areas for</w:t>
      </w:r>
      <w:r>
        <w:t xml:space="preserve"> </w:t>
      </w:r>
      <w:r>
        <w:rPr>
          <w:i/>
        </w:rPr>
        <w:t xml:space="preserve">#</w:t>
      </w:r>
      <w:r>
        <w:t xml:space="preserve"> </w:t>
      </w:r>
      <w:r>
        <w:t xml:space="preserve">fluxes and</w:t>
      </w:r>
      <w:r>
        <w:t xml:space="preserve"> </w:t>
      </w:r>
      <w:r>
        <w:rPr>
          <w:i/>
        </w:rPr>
        <w:t xml:space="preserve">#</w:t>
      </w:r>
      <w:r>
        <w:t xml:space="preserve"> </w:t>
      </w:r>
      <w:r>
        <w:t xml:space="preserve">stocks in tropical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conifer forests, and fluxes and</w:t>
      </w:r>
      <w:r>
        <w:t xml:space="preserve"> </w:t>
      </w:r>
      <w:r>
        <w:rPr>
          <w:i/>
        </w:rPr>
        <w:t xml:space="preserve">#</w:t>
      </w:r>
      <w:r>
        <w:t xml:space="preserve"> </w:t>
      </w:r>
      <w:r>
        <w:t xml:space="preserve">stocks in boreal forests.</w:t>
      </w:r>
      <w:r>
        <w:t xml:space="preserve"> </w:t>
      </w:r>
      <w:r>
        <w:t xml:space="preserve">For regrowth forests (&lt;100 yrs), ForC contained estimates from</w:t>
      </w:r>
      <w:r>
        <w:t xml:space="preserve"> </w:t>
      </w:r>
      <m:oMath>
        <m:r>
          <m:t>≥</m:t>
        </m:r>
      </m:oMath>
      <w:r>
        <w:t xml:space="preserve"> </w:t>
      </w:r>
      <w:r>
        <w:t xml:space="preserve">7 distinct geographic areas for</w:t>
      </w:r>
      <w:r>
        <w:t xml:space="preserve"> </w:t>
      </w:r>
      <w:r>
        <w:rPr>
          <w:i/>
        </w:rPr>
        <w:t xml:space="preserve">#</w:t>
      </w:r>
      <w:r>
        <w:t xml:space="preserve"> </w:t>
      </w:r>
      <w:r>
        <w:t xml:space="preserve">fluxes and</w:t>
      </w:r>
      <w:r>
        <w:t xml:space="preserve"> </w:t>
      </w:r>
      <w:r>
        <w:rPr>
          <w:i/>
        </w:rPr>
        <w:t xml:space="preserve">#</w:t>
      </w:r>
      <w:r>
        <w:t xml:space="preserve"> </w:t>
      </w:r>
      <w:r>
        <w:t xml:space="preserve">stocks in tropical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broadleaf forests,</w:t>
      </w:r>
      <w:r>
        <w:t xml:space="preserve"> </w:t>
      </w:r>
      <w:r>
        <w:rPr>
          <w:i/>
        </w:rPr>
        <w:t xml:space="preserve">#</w:t>
      </w:r>
      <w:r>
        <w:t xml:space="preserve"> </w:t>
      </w:r>
      <w:r>
        <w:t xml:space="preserve">fluxes and</w:t>
      </w:r>
      <w:r>
        <w:t xml:space="preserve"> </w:t>
      </w:r>
      <w:r>
        <w:rPr>
          <w:i/>
        </w:rPr>
        <w:t xml:space="preserve">#</w:t>
      </w:r>
      <w:r>
        <w:t xml:space="preserve"> </w:t>
      </w:r>
      <w:r>
        <w:t xml:space="preserve">stocks in temperate conifer forests, and fluxes and</w:t>
      </w:r>
      <w:r>
        <w:t xml:space="preserve"> </w:t>
      </w:r>
      <w:r>
        <w:rPr>
          <w:i/>
        </w:rPr>
        <w:t xml:space="preserve">#</w:t>
      </w:r>
      <w:r>
        <w:t xml:space="preserve"> </w:t>
      </w:r>
      <w:r>
        <w:t xml:space="preserve">stocks in boreal forests.</w:t>
      </w:r>
    </w:p>
    <w:p>
      <w:pPr>
        <w:pStyle w:val="Heading3"/>
      </w:pPr>
      <w:bookmarkStart w:id="30" w:name="c-cycling-in-mature-forests"/>
      <w:r>
        <w:t xml:space="preserve">C cycling in mature forests</w:t>
      </w:r>
      <w:bookmarkEnd w:id="30"/>
    </w:p>
    <w:p>
      <w:pPr>
        <w:pStyle w:val="FirstParagraph"/>
      </w:pPr>
      <w:r>
        <w:t xml:space="preserve">Average C cycles for tropical broadleaf, temperate broadleaf, temperate conifer, and boreal forests</w:t>
      </w:r>
      <w:r>
        <w:t xml:space="preserve"> </w:t>
      </w:r>
      <m:oMath>
        <m:r>
          <m:t>≥</m:t>
        </m:r>
      </m:oMath>
      <w:r>
        <w:t xml:space="preserve"> </w:t>
      </w:r>
      <w:r>
        <w:t xml:space="preserve">100 years old and with no known major disturbance or significant anthropogenic management are presented in Figures 2-5 (and available in tabular format in the ForC release accompanying this publication).</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t xml:space="preserve">That is, component fluxes and stocks summed to within one standard deviation of more inclusive fluxes in all but two instances, both for living C stocks in temperate conifer forests (Fig. 5).</w:t>
      </w:r>
      <w:r>
        <w:t xml:space="preserve"> </w:t>
      </w:r>
      <w:r>
        <w:rPr>
          <w:b/>
        </w:rPr>
        <w:t xml:space="preserve">(check this with final results:</w:t>
      </w:r>
      <w:r>
        <w:rPr>
          <w:b/>
        </w:rPr>
        <w:t xml:space="preserve"> </w:t>
      </w:r>
      <w:hyperlink r:id="rId31">
        <w:r>
          <w:rPr>
            <w:rStyle w:val="Hyperlink"/>
            <w:b/>
          </w:rPr>
          <w:t xml:space="preserve">https://github.com/forc-db/ForC/blob/master/numbers_and_facts/C_cycle_closure.csv</w:t>
        </w:r>
      </w:hyperlink>
      <w:r>
        <w:rPr>
          <w:b/>
        </w:rPr>
        <w:t xml:space="preserve">)</w:t>
      </w:r>
      <w:r>
        <w:rPr>
          <w:b/>
        </w:rPr>
        <w:t xml:space="preserve"> </w:t>
      </w:r>
      <w:r>
        <w:t xml:space="preserve"> </w:t>
      </w:r>
      <w:r>
        <w:t xml:space="preserve">Within this biome,</w:t>
      </w:r>
      <w: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t xml:space="preserve"> </w:t>
      </w:r>
      <w:r>
        <w:t xml:space="preserve">and</w:t>
      </w:r>
      <w: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t xml:space="preserve"> </w:t>
      </w:r>
      <w:r>
        <w:t xml:space="preserve">because</w:t>
      </w:r>
      <w:r>
        <w:t xml:space="preserve"> </w:t>
      </w:r>
      <m:oMath>
        <m:sSub>
          <m:e>
            <m:r>
              <m:t>B</m:t>
            </m:r>
          </m:e>
          <m:sub>
            <m:r>
              <m:t>a</m:t>
            </m:r>
            <m:r>
              <m:t>g</m:t>
            </m:r>
            <m:r>
              <m:t>−</m:t>
            </m:r>
            <m:r>
              <m:t>w</m:t>
            </m:r>
            <m:r>
              <m:t>o</m:t>
            </m:r>
            <m:r>
              <m:t>o</m:t>
            </m:r>
            <m:r>
              <m:t>d</m:t>
            </m:r>
          </m:sub>
        </m:sSub>
      </m:oMath>
      <w:r>
        <w:t xml:space="preserve"> </w:t>
      </w:r>
      <w:r>
        <w:t xml:space="preserve">and</w:t>
      </w:r>
      <w:r>
        <w:t xml:space="preserve"> </w:t>
      </w:r>
      <m:oMath>
        <m:sSub>
          <m:e>
            <m:r>
              <m:t>B</m:t>
            </m:r>
          </m:e>
          <m:sub>
            <m:r>
              <m:t>r</m:t>
            </m:r>
            <m:r>
              <m:t>o</m:t>
            </m:r>
            <m:r>
              <m:t>o</m:t>
            </m:r>
            <m:r>
              <m:t>t</m:t>
            </m:r>
            <m:r>
              <m:t>−</m:t>
            </m:r>
            <m:r>
              <m:t>c</m:t>
            </m:r>
            <m:r>
              <m:t>o</m:t>
            </m:r>
            <m:r>
              <m:t>a</m:t>
            </m:r>
            <m:r>
              <m:t>r</m:t>
            </m:r>
            <m:r>
              <m:t>s</m:t>
            </m:r>
            <m:r>
              <m:t>e</m:t>
            </m:r>
          </m:sub>
        </m:sSub>
      </m:oMath>
      <w:r>
        <w:t xml:space="preserve"> </w:t>
      </w:r>
      <w: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 square root of flux divided by 5." title="" id="1" name="Picture"/>
            <a:graphic>
              <a:graphicData uri="http://schemas.openxmlformats.org/drawingml/2006/picture">
                <pic:pic>
                  <pic:nvPicPr>
                    <pic:cNvPr descr="tables_figures/Tropical%20broadleaf%20MATURE.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Arrows are scaled as the</w:t>
      </w:r>
      <w:r>
        <w:t xml:space="preserve"> </w:t>
      </w:r>
      <w:r>
        <w:rPr>
          <w:b/>
        </w:rPr>
        <w:t xml:space="preserve">square root of flux divided by 5</w:t>
      </w:r>
      <w:r>
        <w:t xml:space="preserve">.</w:t>
      </w:r>
    </w:p>
    <w:p>
      <w:pPr>
        <w:pStyle w:val="CaptionedFigure"/>
      </w:pPr>
      <w:r>
        <w:drawing>
          <wp:inline>
            <wp:extent cx="5334000" cy="4267200"/>
            <wp:effectExtent b="0" l="0" r="0" t="0"/>
            <wp:docPr descr="Figure 3 | C cycle diagram for mature temperate broadleaf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tables_figures/Temperate%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4 | C cycle diagram for mature temperate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tables_figures/Temperate%20conifer%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w:t>
      </w:r>
    </w:p>
    <w:p>
      <w:pPr>
        <w:pStyle w:val="BodyText"/>
      </w:pPr>
      <w:r>
        <w:drawing>
          <wp:inline>
            <wp:extent cx="5334000" cy="4267200"/>
            <wp:effectExtent b="0" l="0" r="0" t="0"/>
            <wp:docPr descr="Figure 5 | C cycle diagram for mature boreal conifer forests. All units are Mg C ha^{-1} yr^{-1} (fluxes) or Mg C ha^{-1}. Presented are mean ± std, where geographically distinct areas are treated as the unit of replication. Arrows indicate fluxes, boxes indicate stocks. Dashed shape outlines indicate variables with records from &lt;7 distinct geographic areas, and dashed arrows indicate fluxes with no data." title="" id="1" name="Picture"/>
            <a:graphic>
              <a:graphicData uri="http://schemas.openxmlformats.org/drawingml/2006/picture">
                <pic:pic>
                  <pic:nvPicPr>
                    <pic:cNvPr descr="tables_figures/Boreal%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(The following covers only the variables with age trends figures; there maybe a few more without much age data)</w:t>
      </w:r>
      <w:r>
        <w:t xml:space="preserve"> </w:t>
      </w:r>
      <w:r>
        <w:t xml:space="preserve">With only # exceptions, C fluxes were highest in tropical forests, intermediate in temperate (broadleaf or conifer) forests, and lowest in boreal forests (Table 1, Figs. 6, S1-S15).</w:t>
      </w:r>
      <w:r>
        <w:t xml:space="preserve"> </w:t>
      </w:r>
      <w:r>
        <w:t xml:space="preserve">In this majority of cases, differences between tropical and boreal forests were always significant, with temperate forests intermediate and significantly different from one or both.</w:t>
      </w:r>
      <w:r>
        <w:t xml:space="preserve"> </w:t>
      </w:r>
      <w:r>
        <w:t xml:space="preserve">Fluxes tended to be greater in temperate broadleaf than conifer forests, but the difference was never significant.</w:t>
      </w:r>
      <w:r>
        <w:t xml:space="preserve"> </w:t>
      </w:r>
      <w:r>
        <w:t xml:space="preserve">This pattern held for the following variables:</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w:t>
      </w:r>
      <w:r>
        <w:t xml:space="preserve"> </w:t>
      </w:r>
      <m:oMath>
        <m:r>
          <m:t>B</m:t>
        </m:r>
        <m:r>
          <m:t>N</m:t>
        </m:r>
        <m:r>
          <m:t>P</m:t>
        </m:r>
        <m:sSub>
          <m:e>
            <m:r>
              <m:t>P</m:t>
            </m:r>
          </m:e>
          <m:sub>
            <m:r>
              <m:t>f</m:t>
            </m:r>
          </m:sub>
        </m:sSub>
        <m:r>
          <m:t>i</m:t>
        </m:r>
        <m:r>
          <m:t>n</m:t>
        </m:r>
        <m:r>
          <m:t>e</m:t>
        </m:r>
      </m:oMath>
      <w:r>
        <w:t xml:space="preserve">,</w:t>
      </w:r>
      <w:r>
        <w:t xml:space="preserve"> </w:t>
      </w:r>
      <m:oMath>
        <m:sSub>
          <m:e>
            <m:r>
              <m:t>R</m:t>
            </m:r>
          </m:e>
          <m:sub>
            <m:r>
              <m:t>e</m:t>
            </m:r>
            <m:r>
              <m:t>c</m:t>
            </m:r>
            <m:r>
              <m:t>o</m:t>
            </m:r>
          </m:sub>
        </m:sSub>
      </m:oMath>
      <w:r>
        <w:t xml:space="preserve">,</w:t>
      </w:r>
      <w:r>
        <w:t xml:space="preserve"> </w:t>
      </w:r>
      <m:oMath>
        <m:sSub>
          <m:e>
            <m:r>
              <m:t>R</m:t>
            </m:r>
          </m:e>
          <m:sub>
            <m:r>
              <m:t>r</m:t>
            </m:r>
            <m:r>
              <m:t>o</m:t>
            </m:r>
            <m:r>
              <m:t>o</m:t>
            </m:r>
            <m:r>
              <m:t>t</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 title="" id="1" name="Picture"/>
            <a:graphic>
              <a:graphicData uri="http://schemas.openxmlformats.org/drawingml/2006/picture">
                <pic:pic>
                  <pic:nvPicPr>
                    <pic:cNvPr descr="tables_figures/Flux_age_trends.png" id="0" name="Picture"/>
                    <pic:cNvPicPr>
                      <a:picLocks noChangeArrowheads="1" noChangeAspect="1"/>
                    </pic:cNvPicPr>
                  </pic:nvPicPr>
                  <pic:blipFill>
                    <a:blip r:embed="rId3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flux with sufficient data given in the Supplement (Figs. S1-S15).</w:t>
      </w:r>
    </w:p>
    <w:p>
      <w:pPr>
        <w:pStyle w:val="BodyText"/>
      </w:pPr>
      <w:r>
        <w:t xml:space="preserve">There were fewer distinct trends in C stocks across biomes (Figs. 7, S16-S26).</w:t>
      </w:r>
      <w:r>
        <w:t xml:space="preserve"> </w:t>
      </w:r>
      <w:r>
        <w:t xml:space="preserve">Specifically, there were significant differences for only</w:t>
      </w:r>
      <w:r>
        <w:t xml:space="preserve"> </w:t>
      </w:r>
      <w:r>
        <w:rPr>
          <w:i/>
        </w:rPr>
        <w:t xml:space="preserve">#</w:t>
      </w:r>
      <w:r>
        <w:t xml:space="preserve"> </w:t>
      </w:r>
      <w:r>
        <w:t xml:space="preserve">of</w:t>
      </w:r>
      <w:r>
        <w:t xml:space="preserve"> </w:t>
      </w:r>
      <w:r>
        <w:rPr>
          <w:i/>
        </w:rPr>
        <w:t xml:space="preserve">#</w:t>
      </w:r>
      <w:r>
        <w:t xml:space="preserve"> </w:t>
      </w:r>
      <w:r>
        <w:t xml:space="preserve">variables:</w:t>
      </w:r>
      <w:r>
        <w:t xml:space="preserve"> </w:t>
      </w:r>
      <w:r>
        <w:rPr>
          <w:i/>
        </w:rPr>
        <w:t xml:space="preserve">LIST</w:t>
      </w:r>
      <w:r>
        <w:t xml:space="preserve">.</w:t>
      </w:r>
      <w:r>
        <w:t xml:space="preserve"> </w:t>
      </w:r>
      <w:r>
        <w:t xml:space="preserve">In all of these cases, temperate conifer forests were in the highest significance grouping, and boreal forests in the lowest.</w:t>
      </w:r>
      <w:r>
        <w:t xml:space="preserve"> </w:t>
      </w:r>
      <w:r>
        <w:t xml:space="preserve">Tropical and temperate broadleaf forests fell in between–most commonly being significantly different from temperate conifer but not boreal forests.</w:t>
      </w:r>
      <w:r>
        <w:t xml:space="preserve"> </w:t>
      </w:r>
      <w:r>
        <w:t xml:space="preserve">Once again, 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 title="" id="1" name="Picture"/>
            <a:graphic>
              <a:graphicData uri="http://schemas.openxmlformats.org/drawingml/2006/picture">
                <pic:pic>
                  <pic:nvPicPr>
                    <pic:cNvPr descr="tables_figures/Stock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Individual figures for each stock with sufficient data given in the Supplement (Figs. S16-S26).</w:t>
      </w:r>
    </w:p>
    <w:p>
      <w:pPr>
        <w:pStyle w:val="Heading3"/>
      </w:pPr>
      <w:bookmarkStart w:id="38" w:name="c-cycling-in-young-forests"/>
      <w:r>
        <w:t xml:space="preserve">C cycling in young forests</w:t>
      </w:r>
      <w:bookmarkEnd w:id="38"/>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 1, Figs. 6-11, S1-S26; detailed below).</w:t>
      </w:r>
    </w:p>
    <w:p>
      <w:pPr>
        <w:pStyle w:val="BodyText"/>
      </w:pPr>
      <w:r>
        <w:t xml:space="preserve">ForC 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ll units are Mg C ha^{-1} yr^{-1} (fluxes) or Mg C ha^{-1}.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 title="" id="1" name="Picture"/>
            <a:graphic>
              <a:graphicData uri="http://schemas.openxmlformats.org/drawingml/2006/picture">
                <pic:pic>
                  <pic:nvPicPr>
                    <pic:cNvPr descr="tables_figures/Tropical%20broadleaf%20YOUN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9 | C cycle diagram for young temperate broadleaf forests. All units are Mg C ha^{-1} yr^{-1} (fluxes) or Mg C ha^{-1}.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 title="" id="1" name="Picture"/>
            <a:graphic>
              <a:graphicData uri="http://schemas.openxmlformats.org/drawingml/2006/picture">
                <pic:pic>
                  <pic:nvPicPr>
                    <pic:cNvPr descr="tables_figures/Temperate%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w:t>
      </w:r>
    </w:p>
    <w:p>
      <w:pPr>
        <w:pStyle w:val="CaptionedFigure"/>
      </w:pPr>
      <w:r>
        <w:drawing>
          <wp:inline>
            <wp:extent cx="5334000" cy="4267200"/>
            <wp:effectExtent b="0" l="0" r="0" t="0"/>
            <wp:docPr descr="Figure 10 | C cycle diagram for young temperate conifer forests. All units are Mg C ha^{-1} yr^{-1} (fluxes) or Mg C ha^{-1}.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 title="" id="1" name="Picture"/>
            <a:graphic>
              <a:graphicData uri="http://schemas.openxmlformats.org/drawingml/2006/picture">
                <pic:pic>
                  <pic:nvPicPr>
                    <pic:cNvPr descr="tables_figures/Temperate%20conifer%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w:t>
      </w:r>
    </w:p>
    <w:p>
      <w:pPr>
        <w:pStyle w:val="BodyText"/>
      </w:pPr>
      <w:r>
        <w:drawing>
          <wp:inline>
            <wp:extent cx="5334000" cy="4267200"/>
            <wp:effectExtent b="0" l="0" r="0" t="0"/>
            <wp:docPr descr="Figure 11 | C cycle diagram for young boreal conifer forests. All units are Mg C ha^{-1} yr^{-1} (fluxes) or Mg C ha^{-1}. Presented are mean ± std, where geographically distinct areas are treated as the unit of replication. Arrows indicate fluxes, boxes indicate stocks. When age trends are signficant, they are presented with numbered equations; otherwise, means are presented. Dashed shape outlines indicate variables with records from &lt;7 distinct geographic areas, and dashed arrows indicate fluxes with no data." title="" id="1" name="Picture"/>
            <a:graphic>
              <a:graphicData uri="http://schemas.openxmlformats.org/drawingml/2006/picture">
                <pic:pic>
                  <pic:nvPicPr>
                    <pic:cNvPr descr="tables_figures/Boreal%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3" w:name="discussion"/>
      <w:r>
        <w:t xml:space="preserve">Discussion</w:t>
      </w:r>
      <w:bookmarkEnd w:id="43"/>
    </w:p>
    <w:p>
      <w:pPr>
        <w:pStyle w:val="FirstParagraph"/>
      </w:pPr>
      <w:r>
        <w:t xml:space="preserve">ForC v.XX yielded a fairly comprehensive and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influenced by a different set of drivers.</w:t>
      </w:r>
    </w:p>
    <w:p>
      <w:pPr>
        <w:pStyle w:val="Heading3"/>
      </w:pPr>
      <w:bookmarkStart w:id="44" w:name="c-variable-coverage-and-budget-closure"/>
      <w:r>
        <w:t xml:space="preserve">C variable coverage and budget closure</w:t>
      </w:r>
      <w:bookmarkEnd w:id="44"/>
    </w:p>
    <w:p>
      <w:pPr>
        <w:pStyle w:val="FirstParagraph"/>
      </w:pPr>
      <w:r>
        <w:t xml:space="preserve">ForC provides fairly good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t xml:space="preserve">Closure of the C cycle budgets for mature forests (Figs. 2-5) is fairly good.</w:t>
      </w:r>
      <w:r>
        <w:t xml:space="preserve"> </w:t>
      </w:r>
      <w:r>
        <w:t xml:space="preserve">However, SD’s are often large, reflective of significant within-biome variation. This makes the standard for closure relatively loose.</w:t>
      </w:r>
      <w:r>
        <w:t xml:space="preserve"> </w:t>
      </w:r>
      <w: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 ForC 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45" w:name="c-cycling-across-biomes"/>
      <w:r>
        <w:t xml:space="preserve">C cycling across biomes</w:t>
      </w:r>
      <w:bookmarkEnd w:id="45"/>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Heading3"/>
      </w:pPr>
      <w:bookmarkStart w:id="46" w:name="age-trends-in-c-cycling"/>
      <w:r>
        <w:t xml:space="preserve">Age trends in C cycling</w:t>
      </w:r>
      <w:bookmarkEnd w:id="4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w:t>
      </w:r>
    </w:p>
    <w:p>
      <w:pPr>
        <w:pStyle w:val="Heading3"/>
      </w:pPr>
      <w:bookmarkStart w:id="47" w:name="Xe274d8bfc31d8f186374f5425705e4c8c528185"/>
      <w:r>
        <w:t xml:space="preserve">Relevance for climate change prediction and mitigation</w:t>
      </w:r>
      <w:bookmarkEnd w:id="47"/>
    </w:p>
    <w:p>
      <w:pPr>
        <w:pStyle w:val="FirstParagraph"/>
      </w:pPr>
      <w:r>
        <w:t xml:space="preserve">The future of forest C cycling 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 ForC 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benchmark against multiple components of the C cycle.</w:t>
      </w:r>
      <w:r>
        <w:t xml:space="preserve"> </w:t>
      </w:r>
      <w:r>
        <w:t xml:space="preserve">By making tens of thousands of records readily available in standardized format, ForC makes it feasible for the modeling community to draw upon these data to benchmark models.</w:t>
      </w:r>
      <w:r>
        <w:t xml:space="preserve"> </w:t>
      </w:r>
      <w:r>
        <w:t xml:space="preserve">Integration of ForC with models is a goal (Fer et al., in revision).</w:t>
      </w:r>
      <w:r>
        <w:t xml:space="preserve"> </w:t>
      </w:r>
      <w:r>
        <w:t xml:space="preserve">On a more cursory level, the values summarized here can serve as a sanity check for modelers to determine whether model predictions for multiple C cycle variables are reasonable–i.e., within the range of previous observations.</w:t>
      </w:r>
    </w:p>
    <w:p>
      <w:pPr>
        <w:pStyle w:val="BodyText"/>
      </w:pPr>
      <w:r>
        <w:t xml:space="preserve">Second, ForC 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 ForC 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t xml:space="preserve">ForC 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t xml:space="preserve">There remain numerous data needs for improved accounting of forest carbon stocks and fluxes in GHG accounting.</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t xml:space="preserve">ForC 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p>
    <w:p>
      <w:pPr>
        <w:pStyle w:val="BodyText"/>
      </w:pPr>
      <w:r>
        <w:t xml:space="preserve">Other variables cannot be remotely sensed.</w:t>
      </w:r>
      <w:r>
        <w:t xml:space="preserve"> </w:t>
      </w:r>
      <w:r>
        <w:t xml:space="preserve">In terms of C stocks, there is a paucity of data on dead wood and organic layer (Pan et al. ?).</w:t>
      </w:r>
      <w:r>
        <w:t xml:space="preserve"> </w:t>
      </w:r>
      <w:r>
        <w:t xml:space="preserve">These can be significant.</w:t>
      </w:r>
      <w:r>
        <w:t xml:space="preserve"> </w:t>
      </w:r>
      <w:r>
        <w:rPr>
          <w:i/>
        </w:rPr>
        <w:t xml:space="preserve">(give some stats/ cite figures)</w:t>
      </w:r>
      <w:r>
        <w:t xml:space="preserve">.</w:t>
      </w:r>
      <w:r>
        <w:t xml:space="preserve"> </w:t>
      </w:r>
      <w:r>
        <w:t xml:space="preserve">ForC does not include soil carbon, which is covered by other efforts (REFS).</w:t>
      </w:r>
      <w:r>
        <w:t xml:space="preserve"> </w:t>
      </w:r>
      <w:r>
        <w:t xml:space="preserve">For fluxes, Fluxnet is the keeper of the best data on NEE, GPP, Reco (REFS), and SRDB remains the authority on soil respiration (REFS). ForC includes recent data from both, but is not continuously integrated.</w:t>
      </w:r>
      <w:r>
        <w:t xml:space="preserve"> </w:t>
      </w:r>
      <w:r>
        <w:t xml:space="preserve">For C is the best source for most of the subsidiary fluxes: NPP, woody mortality…</w:t>
      </w:r>
    </w:p>
    <w:p>
      <w:pPr>
        <w:pStyle w:val="BodyText"/>
      </w:pPr>
      <w:r>
        <w:t xml:space="preserve">We recommend that use of ForC 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 ForC 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48" w:name="acknowledgements"/>
      <w:r>
        <w:t xml:space="preserve">Acknowledgements</w:t>
      </w:r>
      <w:bookmarkEnd w:id="48"/>
    </w:p>
    <w:p>
      <w:pPr>
        <w:pStyle w:val="FirstParagraph"/>
      </w:pPr>
      <w:r>
        <w:t xml:space="preserve">All researchers whose data is included in ForC 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49" w:name="references"/>
      <w:r>
        <w:t xml:space="preserve">References</w:t>
      </w:r>
      <w:bookmarkEnd w:id="49"/>
    </w:p>
    <w:bookmarkStart w:id="111" w:name="refs"/>
    <w:bookmarkStart w:id="51"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50">
        <w:r>
          <w:rPr>
            <w:rStyle w:val="Hyperlink"/>
          </w:rPr>
          <w:t xml:space="preserve">http://www.blackwell-synergy.com/doi/abs/10.1111/j.1461-0248.2006.00914.x</w:t>
        </w:r>
      </w:hyperlink>
    </w:p>
    <w:bookmarkEnd w:id="51"/>
    <w:bookmarkStart w:id="53"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52">
        <w:r>
          <w:rPr>
            <w:rStyle w:val="Hyperlink"/>
          </w:rPr>
          <w:t xml:space="preserve">https://zenodo.org/record/3983644</w:t>
        </w:r>
      </w:hyperlink>
    </w:p>
    <w:bookmarkEnd w:id="53"/>
    <w:bookmarkStart w:id="5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54">
        <w:r>
          <w:rPr>
            <w:rStyle w:val="Hyperlink"/>
          </w:rPr>
          <w:t xml:space="preserve">http://onlinelibrary.wiley.com/doi/10.1111/gcb.12712/abstract</w:t>
        </w:r>
      </w:hyperlink>
    </w:p>
    <w:bookmarkEnd w:id="55"/>
    <w:bookmarkStart w:id="57"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56">
        <w:r>
          <w:rPr>
            <w:rStyle w:val="Hyperlink"/>
          </w:rPr>
          <w:t xml:space="preserve">http://doi.wiley.com/10.1002/ecy.2229</w:t>
        </w:r>
      </w:hyperlink>
    </w:p>
    <w:bookmarkEnd w:id="57"/>
    <w:bookmarkStart w:id="59"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58">
        <w:r>
          <w:rPr>
            <w:rStyle w:val="Hyperlink"/>
          </w:rPr>
          <w:t xml:space="preserve">http://onlinelibrary.wiley.com/doi/10.1111/gcb.13226/abstract</w:t>
        </w:r>
      </w:hyperlink>
    </w:p>
    <w:bookmarkEnd w:id="59"/>
    <w:bookmarkStart w:id="61"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60">
        <w:r>
          <w:rPr>
            <w:rStyle w:val="Hyperlink"/>
          </w:rPr>
          <w:t xml:space="preserve">http://journals.ametsoc.org/doi/abs/10.1175/1520-0477(2001)082%3C2415:FANTTS%3E2.3.CO;2</w:t>
        </w:r>
      </w:hyperlink>
    </w:p>
    <w:bookmarkEnd w:id="61"/>
    <w:bookmarkStart w:id="62"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62"/>
    <w:bookmarkStart w:id="64"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 </w:t>
      </w:r>
      <w:r>
        <w:rPr>
          <w:b/>
        </w:rPr>
        <w:t xml:space="preserve">320</w:t>
      </w:r>
      <w:r>
        <w:t xml:space="preserve"> </w:t>
      </w:r>
      <w:r>
        <w:t xml:space="preserve">1444–9 Online:</w:t>
      </w:r>
      <w:r>
        <w:t xml:space="preserve"> </w:t>
      </w:r>
      <w:hyperlink r:id="rId63">
        <w:r>
          <w:rPr>
            <w:rStyle w:val="Hyperlink"/>
          </w:rPr>
          <w:t xml:space="preserve">http://www.sciencemag.org/cgi/content/abstract/320/5882/1444</w:t>
        </w:r>
      </w:hyperlink>
    </w:p>
    <w:bookmarkEnd w:id="64"/>
    <w:bookmarkStart w:id="66"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65">
        <w:r>
          <w:rPr>
            <w:rStyle w:val="Hyperlink"/>
          </w:rPr>
          <w:t xml:space="preserve">http://www.biogeosciences.net/7/1915/2010/</w:t>
        </w:r>
      </w:hyperlink>
    </w:p>
    <w:bookmarkEnd w:id="66"/>
    <w:bookmarkStart w:id="68"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67">
        <w:r>
          <w:rPr>
            <w:rStyle w:val="Hyperlink"/>
          </w:rPr>
          <w:t xml:space="preserve">https://doi.org/10.1007/s10712-019-09528-w</w:t>
        </w:r>
      </w:hyperlink>
    </w:p>
    <w:bookmarkEnd w:id="68"/>
    <w:bookmarkStart w:id="70"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69">
        <w:r>
          <w:rPr>
            <w:rStyle w:val="Hyperlink"/>
          </w:rPr>
          <w:t xml:space="preserve">https://onlinelibrary.wiley.com/doi/abs/10.1046/j.1461-0248.2003.00547.x</w:t>
        </w:r>
      </w:hyperlink>
    </w:p>
    <w:bookmarkEnd w:id="70"/>
    <w:bookmarkStart w:id="72"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71">
        <w:r>
          <w:rPr>
            <w:rStyle w:val="Hyperlink"/>
          </w:rPr>
          <w:t xml:space="preserve">http://www.nature.com/articles/s41586-020-2686-x</w:t>
        </w:r>
      </w:hyperlink>
    </w:p>
    <w:bookmarkEnd w:id="72"/>
    <w:bookmarkStart w:id="74"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73">
        <w:r>
          <w:rPr>
            <w:rStyle w:val="Hyperlink"/>
          </w:rPr>
          <w:t xml:space="preserve">http://science.sciencemag.org/content/361/6407/1108</w:t>
        </w:r>
      </w:hyperlink>
    </w:p>
    <w:bookmarkEnd w:id="74"/>
    <w:bookmarkStart w:id="76"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75">
        <w:r>
          <w:rPr>
            <w:rStyle w:val="Hyperlink"/>
          </w:rPr>
          <w:t xml:space="preserve">http://www.nature.com/articles/s41558-020-0738-8</w:t>
        </w:r>
      </w:hyperlink>
    </w:p>
    <w:bookmarkEnd w:id="76"/>
    <w:bookmarkStart w:id="78"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77">
        <w:r>
          <w:rPr>
            <w:rStyle w:val="Hyperlink"/>
          </w:rPr>
          <w:t xml:space="preserve">https://www.nature.com/articles/nclimate3227</w:t>
        </w:r>
      </w:hyperlink>
    </w:p>
    <w:bookmarkEnd w:id="78"/>
    <w:bookmarkStart w:id="80"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79">
        <w:r>
          <w:rPr>
            <w:rStyle w:val="Hyperlink"/>
          </w:rPr>
          <w:t xml:space="preserve">http://www.pnas.org/lookup/doi/10.1073/pnas.1710465114</w:t>
        </w:r>
      </w:hyperlink>
    </w:p>
    <w:bookmarkEnd w:id="80"/>
    <w:bookmarkStart w:id="82"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81">
        <w:r>
          <w:rPr>
            <w:rStyle w:val="Hyperlink"/>
          </w:rPr>
          <w:t xml:space="preserve">http://www.sciencemag.org/cgi/doi/10.1126/science.1244693</w:t>
        </w:r>
      </w:hyperlink>
    </w:p>
    <w:bookmarkEnd w:id="82"/>
    <w:bookmarkStart w:id="84"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83">
        <w:r>
          <w:rPr>
            <w:rStyle w:val="Hyperlink"/>
          </w:rPr>
          <w:t xml:space="preserve">http://www.nature.com/articles/s41559-018-0626-z</w:t>
        </w:r>
      </w:hyperlink>
    </w:p>
    <w:bookmarkEnd w:id="84"/>
    <w:bookmarkStart w:id="86"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85">
        <w:r>
          <w:rPr>
            <w:rStyle w:val="Hyperlink"/>
          </w:rPr>
          <w:t xml:space="preserve">https://onlinelibrary.wiley.com/doi/abs/10.1111/gcb.14144</w:t>
        </w:r>
      </w:hyperlink>
    </w:p>
    <w:bookmarkEnd w:id="86"/>
    <w:bookmarkStart w:id="88"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87">
        <w:r>
          <w:rPr>
            <w:rStyle w:val="Hyperlink"/>
          </w:rPr>
          <w:t xml:space="preserve">http://doi.wiley.com/10.1111/nph.15110</w:t>
        </w:r>
      </w:hyperlink>
    </w:p>
    <w:bookmarkEnd w:id="88"/>
    <w:bookmarkStart w:id="90"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89">
        <w:r>
          <w:rPr>
            <w:rStyle w:val="Hyperlink"/>
          </w:rPr>
          <w:t xml:space="preserve">https://www.mdpi.com/2072-4292/11/21/2563</w:t>
        </w:r>
      </w:hyperlink>
    </w:p>
    <w:bookmarkEnd w:id="90"/>
    <w:bookmarkStart w:id="92"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91">
        <w:r>
          <w:rPr>
            <w:rStyle w:val="Hyperlink"/>
          </w:rPr>
          <w:t xml:space="preserve">https://onlinelibrary.wiley.com/doi/abs/10.1111/geb.12747</w:t>
        </w:r>
      </w:hyperlink>
    </w:p>
    <w:bookmarkEnd w:id="92"/>
    <w:bookmarkStart w:id="94"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93">
        <w:r>
          <w:rPr>
            <w:rStyle w:val="Hyperlink"/>
          </w:rPr>
          <w:t xml:space="preserve">http://onlinelibrary.wiley.com/doi/abs/10.1111/j.1365-2486.2007.01439.x</w:t>
        </w:r>
      </w:hyperlink>
    </w:p>
    <w:bookmarkEnd w:id="94"/>
    <w:bookmarkStart w:id="9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95">
        <w:r>
          <w:rPr>
            <w:rStyle w:val="Hyperlink"/>
          </w:rPr>
          <w:t xml:space="preserve">https://science.sciencemag.org/content/368/6494/eaaz9463</w:t>
        </w:r>
      </w:hyperlink>
    </w:p>
    <w:bookmarkEnd w:id="96"/>
    <w:bookmarkStart w:id="98"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97">
        <w:r>
          <w:rPr>
            <w:rStyle w:val="Hyperlink"/>
          </w:rPr>
          <w:t xml:space="preserve">http://www.sciencemag.org/content/early/2011/07/27/science.1201609.abstract</w:t>
        </w:r>
      </w:hyperlink>
    </w:p>
    <w:bookmarkEnd w:id="98"/>
    <w:bookmarkStart w:id="100"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99">
        <w:r>
          <w:rPr>
            <w:rStyle w:val="Hyperlink"/>
          </w:rPr>
          <w:t xml:space="preserve">http://www.pnas.org/lookup/doi/10.1073/pnas.1810512116</w:t>
        </w:r>
      </w:hyperlink>
    </w:p>
    <w:bookmarkEnd w:id="100"/>
    <w:bookmarkStart w:id="102"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01">
        <w:r>
          <w:rPr>
            <w:rStyle w:val="Hyperlink"/>
          </w:rPr>
          <w:t xml:space="preserve">http://onlinelibrary.wiley.com/doi/abs/10.1111/gcb.14767</w:t>
        </w:r>
      </w:hyperlink>
    </w:p>
    <w:bookmarkEnd w:id="102"/>
    <w:bookmarkStart w:id="104"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03">
        <w:r>
          <w:rPr>
            <w:rStyle w:val="Hyperlink"/>
          </w:rPr>
          <w:t xml:space="preserve">http://www.nature.com/articles/s41597-019-0196-1</w:t>
        </w:r>
      </w:hyperlink>
    </w:p>
    <w:bookmarkEnd w:id="104"/>
    <w:bookmarkStart w:id="106"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05">
        <w:r>
          <w:rPr>
            <w:rStyle w:val="Hyperlink"/>
          </w:rPr>
          <w:t xml:space="preserve">http://doi.wiley.com/10.1111/gcb.12822</w:t>
        </w:r>
      </w:hyperlink>
    </w:p>
    <w:bookmarkEnd w:id="106"/>
    <w:bookmarkStart w:id="108"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07">
        <w:r>
          <w:rPr>
            <w:rStyle w:val="Hyperlink"/>
          </w:rPr>
          <w:t xml:space="preserve">http://www.nature.com/articles/s41586-018-0411-9/</w:t>
        </w:r>
      </w:hyperlink>
    </w:p>
    <w:bookmarkEnd w:id="108"/>
    <w:bookmarkStart w:id="110"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09">
        <w:r>
          <w:rPr>
            <w:rStyle w:val="Hyperlink"/>
          </w:rPr>
          <w:t xml:space="preserve">http://doi.wiley.com/10.1111/ele.12765</w:t>
        </w:r>
      </w:hyperlink>
    </w:p>
    <w:bookmarkEnd w:id="110"/>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6" Target="http://doi.wiley.com/10.1002/ecy.2229" TargetMode="External" /><Relationship Type="http://schemas.openxmlformats.org/officeDocument/2006/relationships/hyperlink" Id="rId109" Target="http://doi.wiley.com/10.1111/ele.12765" TargetMode="External" /><Relationship Type="http://schemas.openxmlformats.org/officeDocument/2006/relationships/hyperlink" Id="rId105" Target="http://doi.wiley.com/10.1111/gcb.12822" TargetMode="External" /><Relationship Type="http://schemas.openxmlformats.org/officeDocument/2006/relationships/hyperlink" Id="rId87" Target="http://doi.wiley.com/10.1111/nph.15110" TargetMode="External" /><Relationship Type="http://schemas.openxmlformats.org/officeDocument/2006/relationships/hyperlink" Id="rId60" Target="http://journals.ametsoc.org/doi/abs/10.1175/1520-0477(2001)082%3C2415:FANTTS%3E2.3.CO;2" TargetMode="External" /><Relationship Type="http://schemas.openxmlformats.org/officeDocument/2006/relationships/hyperlink" Id="rId54" Target="http://onlinelibrary.wiley.com/doi/10.1111/gcb.12712/abstract" TargetMode="External" /><Relationship Type="http://schemas.openxmlformats.org/officeDocument/2006/relationships/hyperlink" Id="rId58" Target="http://onlinelibrary.wiley.com/doi/10.1111/gcb.13226/abstract" TargetMode="External" /><Relationship Type="http://schemas.openxmlformats.org/officeDocument/2006/relationships/hyperlink" Id="rId101" Target="http://onlinelibrary.wiley.com/doi/abs/10.1111/gcb.14767" TargetMode="External" /><Relationship Type="http://schemas.openxmlformats.org/officeDocument/2006/relationships/hyperlink" Id="rId93" Target="http://onlinelibrary.wiley.com/doi/abs/10.1111/j.1365-2486.2007.01439.x" TargetMode="External" /><Relationship Type="http://schemas.openxmlformats.org/officeDocument/2006/relationships/hyperlink" Id="rId73" Target="http://science.sciencemag.org/content/361/6407/1108" TargetMode="External" /><Relationship Type="http://schemas.openxmlformats.org/officeDocument/2006/relationships/hyperlink" Id="rId65" Target="http://www.biogeosciences.net/7/1915/2010/" TargetMode="External" /><Relationship Type="http://schemas.openxmlformats.org/officeDocument/2006/relationships/hyperlink" Id="rId50" Target="http://www.blackwell-synergy.com/doi/abs/10.1111/j.1461-0248.2006.00914.x" TargetMode="External" /><Relationship Type="http://schemas.openxmlformats.org/officeDocument/2006/relationships/hyperlink" Id="rId75" Target="http://www.nature.com/articles/s41558-020-0738-8" TargetMode="External" /><Relationship Type="http://schemas.openxmlformats.org/officeDocument/2006/relationships/hyperlink" Id="rId83" Target="http://www.nature.com/articles/s41559-018-0626-z" TargetMode="External" /><Relationship Type="http://schemas.openxmlformats.org/officeDocument/2006/relationships/hyperlink" Id="rId107" Target="http://www.nature.com/articles/s41586-018-0411-9/" TargetMode="External" /><Relationship Type="http://schemas.openxmlformats.org/officeDocument/2006/relationships/hyperlink" Id="rId71" Target="http://www.nature.com/articles/s41586-020-2686-x" TargetMode="External" /><Relationship Type="http://schemas.openxmlformats.org/officeDocument/2006/relationships/hyperlink" Id="rId103" Target="http://www.nature.com/articles/s41597-019-0196-1" TargetMode="External" /><Relationship Type="http://schemas.openxmlformats.org/officeDocument/2006/relationships/hyperlink" Id="rId79" Target="http://www.pnas.org/lookup/doi/10.1073/pnas.1710465114" TargetMode="External" /><Relationship Type="http://schemas.openxmlformats.org/officeDocument/2006/relationships/hyperlink" Id="rId99" Target="http://www.pnas.org/lookup/doi/10.1073/pnas.1810512116" TargetMode="External" /><Relationship Type="http://schemas.openxmlformats.org/officeDocument/2006/relationships/hyperlink" Id="rId63" Target="http://www.sciencemag.org/cgi/content/abstract/320/5882/1444" TargetMode="External" /><Relationship Type="http://schemas.openxmlformats.org/officeDocument/2006/relationships/hyperlink" Id="rId81" Target="http://www.sciencemag.org/cgi/doi/10.1126/science.1244693" TargetMode="External" /><Relationship Type="http://schemas.openxmlformats.org/officeDocument/2006/relationships/hyperlink" Id="rId97" Target="http://www.sciencemag.org/content/early/2011/07/27/science.1201609.abstract" TargetMode="External" /><Relationship Type="http://schemas.openxmlformats.org/officeDocument/2006/relationships/hyperlink" Id="rId67" Target="https://doi.org/10.1007/s10712-019-09528-w"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1" Target="https://github.com/forc-db/ForC/blob/master/numbers_and_facts/C_cycle_closure.csv" TargetMode="External" /><Relationship Type="http://schemas.openxmlformats.org/officeDocument/2006/relationships/hyperlink" Id="rId69" Target="https://onlinelibrary.wiley.com/doi/abs/10.1046/j.1461-0248.2003.00547.x" TargetMode="External" /><Relationship Type="http://schemas.openxmlformats.org/officeDocument/2006/relationships/hyperlink" Id="rId85" Target="https://onlinelibrary.wiley.com/doi/abs/10.1111/gcb.14144" TargetMode="External" /><Relationship Type="http://schemas.openxmlformats.org/officeDocument/2006/relationships/hyperlink" Id="rId91" Target="https://onlinelibrary.wiley.com/doi/abs/10.1111/geb.12747" TargetMode="External" /><Relationship Type="http://schemas.openxmlformats.org/officeDocument/2006/relationships/hyperlink" Id="rId95" Target="https://science.sciencemag.org/content/368/6494/eaaz9463" TargetMode="External" /><Relationship Type="http://schemas.openxmlformats.org/officeDocument/2006/relationships/hyperlink" Id="rId89" Target="https://www.mdpi.com/2072-4292/11/21/2563" TargetMode="External" /><Relationship Type="http://schemas.openxmlformats.org/officeDocument/2006/relationships/hyperlink" Id="rId77" Target="https://www.nature.com/articles/nclimate3227" TargetMode="External" /><Relationship Type="http://schemas.openxmlformats.org/officeDocument/2006/relationships/hyperlink" Id="rId52"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2020-09-23T22:01:13Z</dcterms:created>
  <dcterms:modified xsi:type="dcterms:W3CDTF">2020-09-23T22:01:13Z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